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B6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KORISNIKA:</w:t>
      </w:r>
      <w:r w:rsidRPr="00125605">
        <w:rPr>
          <w:rFonts w:ascii="Arial" w:hAnsi="Arial" w:cs="Arial"/>
          <w:b/>
          <w:bCs/>
        </w:rPr>
        <w:t xml:space="preserve"> </w:t>
      </w:r>
      <w:r w:rsidRPr="00125605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 xml:space="preserve">ŽELJEZNIČKA TEHNIČKA ŠKOLA MORAVICE, ŠKOLSKA 2A                      </w:t>
      </w:r>
    </w:p>
    <w:p w:rsidR="000770B6" w:rsidRPr="00125605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MORAVICE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SAŽETAK DJELOKRUGA RADA: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strukovnog obrazovanja redovnih učenika i djelatnost strukovnog obrazovanja i osposobljavanja odraslih.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Škole je i smještaj, prehrana, odgojno obrazovni rad, te kulturne i druge aktivnosti u Učeničkom domu.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ORGANIZACIJSKA STRUKTURA: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Nastava je organizirana u jednoj prijepodnevnoj smjeni u petodnevnom radnom tjednu. Nastava se , redovna i izborna, dodatna i dopunska izvodi prema nastavnim planovima i programima koje je donijelo Ministarstvo znanosti,  obrazovanja i sporta, operativnom godišnjem izvedbenom odgojno-obrazovnom planu i programu rada, te školskom kurikulumu za 201</w:t>
      </w:r>
      <w:r w:rsidR="006B1F8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/201</w:t>
      </w:r>
      <w:r w:rsidR="006B1F8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školsku godinu. U Učeničkom domu odgojno obrazovni rad se izvodi u odgojnim grupama koje se organiziraju u skladu s državnim pedagoškim standardom. 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FINANCIJSKI PLAN ZA 201</w:t>
      </w:r>
      <w:r w:rsidR="009B6EE0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.-202</w:t>
      </w:r>
      <w:r w:rsidR="009B6EE0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 GODINU: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37"/>
        <w:gridCol w:w="1267"/>
        <w:gridCol w:w="1267"/>
        <w:gridCol w:w="1267"/>
      </w:tblGrid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</w:p>
        </w:tc>
        <w:tc>
          <w:tcPr>
            <w:tcW w:w="1267" w:type="dxa"/>
          </w:tcPr>
          <w:p w:rsidR="000770B6" w:rsidRPr="001127F4" w:rsidRDefault="00882AC5" w:rsidP="00882A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2019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:rsidR="000770B6" w:rsidRPr="001127F4" w:rsidRDefault="00882AC5" w:rsidP="00882A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:rsidR="000770B6" w:rsidRPr="001127F4" w:rsidRDefault="00882AC5" w:rsidP="00882A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Zakonski standard  ustanova srednjeg školstva</w:t>
            </w:r>
          </w:p>
        </w:tc>
        <w:tc>
          <w:tcPr>
            <w:tcW w:w="1267" w:type="dxa"/>
          </w:tcPr>
          <w:p w:rsidR="000770B6" w:rsidRPr="001127F4" w:rsidRDefault="00882AC5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</w:t>
            </w:r>
            <w:r w:rsidR="00933AB4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.500,00</w:t>
            </w:r>
          </w:p>
        </w:tc>
        <w:tc>
          <w:tcPr>
            <w:tcW w:w="1267" w:type="dxa"/>
          </w:tcPr>
          <w:p w:rsidR="000770B6" w:rsidRPr="001127F4" w:rsidRDefault="00882AC5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</w:t>
            </w:r>
            <w:r w:rsidR="00933AB4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.500,00</w:t>
            </w:r>
          </w:p>
        </w:tc>
        <w:tc>
          <w:tcPr>
            <w:tcW w:w="1267" w:type="dxa"/>
          </w:tcPr>
          <w:p w:rsidR="000770B6" w:rsidRPr="001127F4" w:rsidRDefault="00EF377E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</w:t>
            </w:r>
            <w:r w:rsidR="00933AB4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.500,00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Program za poticanje dodatnog odgojno obraz. stvaralaštva</w:t>
            </w:r>
          </w:p>
        </w:tc>
        <w:tc>
          <w:tcPr>
            <w:tcW w:w="1267" w:type="dxa"/>
          </w:tcPr>
          <w:p w:rsidR="000770B6" w:rsidRPr="001127F4" w:rsidRDefault="00882AC5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267" w:type="dxa"/>
          </w:tcPr>
          <w:p w:rsidR="000770B6" w:rsidRPr="001127F4" w:rsidRDefault="000770B6" w:rsidP="00882A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82AC5"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267" w:type="dxa"/>
          </w:tcPr>
          <w:p w:rsidR="000770B6" w:rsidRPr="001127F4" w:rsidRDefault="00EF377E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AC5"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37" w:type="dxa"/>
          </w:tcPr>
          <w:p w:rsidR="000770B6" w:rsidRPr="001127F4" w:rsidRDefault="00EF377E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Natjecanja i smotre u znanju,vještinama i sposobnostima</w:t>
            </w:r>
          </w:p>
        </w:tc>
        <w:tc>
          <w:tcPr>
            <w:tcW w:w="1267" w:type="dxa"/>
          </w:tcPr>
          <w:p w:rsidR="000770B6" w:rsidRPr="001127F4" w:rsidRDefault="00EF377E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:rsidR="000770B6" w:rsidRPr="001127F4" w:rsidRDefault="000770B6" w:rsidP="00EF3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82AC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F377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77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267" w:type="dxa"/>
          </w:tcPr>
          <w:p w:rsidR="000770B6" w:rsidRPr="001127F4" w:rsidRDefault="00EF377E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82AC5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razdjel:</w:t>
            </w:r>
          </w:p>
        </w:tc>
        <w:tc>
          <w:tcPr>
            <w:tcW w:w="1267" w:type="dxa"/>
          </w:tcPr>
          <w:p w:rsidR="000770B6" w:rsidRPr="001127F4" w:rsidRDefault="00882AC5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7.291.900,00</w:t>
            </w:r>
          </w:p>
        </w:tc>
        <w:tc>
          <w:tcPr>
            <w:tcW w:w="1267" w:type="dxa"/>
          </w:tcPr>
          <w:p w:rsidR="000770B6" w:rsidRPr="001127F4" w:rsidRDefault="00882AC5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7.291.900,00</w:t>
            </w:r>
          </w:p>
        </w:tc>
        <w:tc>
          <w:tcPr>
            <w:tcW w:w="1267" w:type="dxa"/>
          </w:tcPr>
          <w:p w:rsidR="000770B6" w:rsidRPr="001127F4" w:rsidRDefault="000770B6" w:rsidP="005B4C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7.2</w:t>
            </w:r>
            <w:r w:rsidR="005B4C1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5B4C18">
              <w:rPr>
                <w:rFonts w:ascii="Arial" w:hAnsi="Arial" w:cs="Arial"/>
                <w:b/>
                <w:bCs/>
                <w:sz w:val="18"/>
                <w:szCs w:val="18"/>
              </w:rPr>
              <w:t>90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</w:tbl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ZAKONSKI STANDARD USTANOVA OSNOVNOG / SREDNJEG ŠKOLSTVA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3713E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POSEBNI CILJ : 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Pr="00D7619E" w:rsidRDefault="000770B6" w:rsidP="00D7619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Realizacija teorijske i praktične nastave, izbornih programa i slobodnih aktivnosti sa ciljem osposobljavanja učenika za odabrana zanimanja, kroz usvajanja znanja i vještina koja će im omogućiti zapošljavanje ili i nastavak obrazovanja, te cjeloživotno obrazovanje.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Poseban cilj je omogućavanje odraslim polaznicima prekvalifikaciju i osposobljavanje kako bi povećali svoju zapošljivost.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Kvalitetno obrazovanje i edukacija učenika, poticanje učenika na kreativnost i razvoj pozitivnih vrijednosti.</w:t>
      </w:r>
    </w:p>
    <w:p w:rsidR="000770B6" w:rsidRPr="002448D1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Korisnici usluga su učenici i odrasli polaznici prekvalifikacije i osposobljavanja.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-Zakon o odgoju i obrazovanju u osnovnoj i srednjoj školi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B74AE5">
        <w:rPr>
          <w:rFonts w:ascii="Arial" w:hAnsi="Arial" w:cs="Arial"/>
          <w:sz w:val="18"/>
          <w:szCs w:val="18"/>
        </w:rPr>
        <w:t>,</w:t>
      </w:r>
      <w:r w:rsidR="00F366ED">
        <w:rPr>
          <w:rFonts w:ascii="Arial" w:hAnsi="Arial" w:cs="Arial"/>
          <w:sz w:val="18"/>
          <w:szCs w:val="18"/>
        </w:rPr>
        <w:t xml:space="preserve"> </w:t>
      </w:r>
      <w:r w:rsidR="00B74AE5">
        <w:rPr>
          <w:rFonts w:ascii="Arial" w:hAnsi="Arial" w:cs="Arial"/>
          <w:sz w:val="18"/>
          <w:szCs w:val="18"/>
        </w:rPr>
        <w:t>68/18.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ustanovama, (NN br. 76/93., 29/97., 47/99., 35/08)</w:t>
      </w:r>
    </w:p>
    <w:p w:rsidR="000770B6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proračunu (NN br. 87/08., 136/12., 15/15.) , Pravilnik o proračunskim klasifikacijama ( NN br. 26/10., 120/13) i Pravilnik o proračunskom računovodstvu i računskom planu ( NN br. 124/14</w:t>
      </w:r>
      <w:r>
        <w:rPr>
          <w:rFonts w:ascii="Arial" w:hAnsi="Arial" w:cs="Arial"/>
          <w:sz w:val="18"/>
          <w:szCs w:val="18"/>
        </w:rPr>
        <w:t>., 115/15., 87/16</w:t>
      </w:r>
      <w:r w:rsidR="00F366ED">
        <w:rPr>
          <w:rFonts w:ascii="Arial" w:hAnsi="Arial" w:cs="Arial"/>
          <w:sz w:val="18"/>
          <w:szCs w:val="18"/>
        </w:rPr>
        <w:t>, 3/18</w:t>
      </w:r>
      <w:r>
        <w:rPr>
          <w:rFonts w:ascii="Arial" w:hAnsi="Arial" w:cs="Arial"/>
          <w:sz w:val="18"/>
          <w:szCs w:val="18"/>
        </w:rPr>
        <w:t>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Državni pedagoški standard srednjoškolskog sustava odgoja i obrazovanja (NN br. 63/08., 90/10.)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Upute proračunskim korisnicima za izradu proračuna Primorsko-goranske županije 201</w:t>
      </w:r>
      <w:r w:rsidR="00F366ED">
        <w:rPr>
          <w:rFonts w:ascii="Arial" w:hAnsi="Arial" w:cs="Arial"/>
          <w:sz w:val="18"/>
          <w:szCs w:val="18"/>
        </w:rPr>
        <w:t>9</w:t>
      </w:r>
      <w:r w:rsidRPr="008534A5">
        <w:rPr>
          <w:rFonts w:ascii="Arial" w:hAnsi="Arial" w:cs="Arial"/>
          <w:sz w:val="18"/>
          <w:szCs w:val="18"/>
        </w:rPr>
        <w:t>.-20</w:t>
      </w:r>
      <w:r>
        <w:rPr>
          <w:rFonts w:ascii="Arial" w:hAnsi="Arial" w:cs="Arial"/>
          <w:sz w:val="18"/>
          <w:szCs w:val="18"/>
        </w:rPr>
        <w:t>2</w:t>
      </w:r>
      <w:r w:rsidR="00F366E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Godišnji izvedbeni odgojno-obrazovni plan i program rada za školsku godinu 201</w:t>
      </w:r>
      <w:r w:rsidR="00F366ED">
        <w:rPr>
          <w:rFonts w:ascii="Arial" w:hAnsi="Arial" w:cs="Arial"/>
          <w:sz w:val="18"/>
          <w:szCs w:val="18"/>
        </w:rPr>
        <w:t>8</w:t>
      </w:r>
      <w:r w:rsidRPr="008534A5">
        <w:rPr>
          <w:rFonts w:ascii="Arial" w:hAnsi="Arial" w:cs="Arial"/>
          <w:sz w:val="18"/>
          <w:szCs w:val="18"/>
        </w:rPr>
        <w:t>./201</w:t>
      </w:r>
      <w:r w:rsidR="00F366ED">
        <w:rPr>
          <w:rFonts w:ascii="Arial" w:hAnsi="Arial" w:cs="Arial"/>
          <w:sz w:val="18"/>
          <w:szCs w:val="18"/>
        </w:rPr>
        <w:t>9</w:t>
      </w:r>
      <w:r w:rsidRPr="008534A5">
        <w:rPr>
          <w:rFonts w:ascii="Arial" w:hAnsi="Arial" w:cs="Arial"/>
          <w:sz w:val="18"/>
          <w:szCs w:val="18"/>
        </w:rPr>
        <w:t>.</w:t>
      </w:r>
    </w:p>
    <w:p w:rsidR="000770B6" w:rsidRPr="008534A5" w:rsidRDefault="000770B6" w:rsidP="008534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Školski kurikulum ŽTŠ Moravice,  nastavne i izvannastavne aktivnosti za školsku godinu 201</w:t>
      </w:r>
      <w:r w:rsidR="00F366ED">
        <w:rPr>
          <w:rFonts w:ascii="Arial" w:hAnsi="Arial" w:cs="Arial"/>
          <w:sz w:val="18"/>
          <w:szCs w:val="18"/>
        </w:rPr>
        <w:t>8</w:t>
      </w:r>
      <w:r w:rsidRPr="008534A5">
        <w:rPr>
          <w:rFonts w:ascii="Arial" w:hAnsi="Arial" w:cs="Arial"/>
          <w:sz w:val="18"/>
          <w:szCs w:val="18"/>
        </w:rPr>
        <w:t>./201</w:t>
      </w:r>
      <w:r w:rsidR="00F366ED">
        <w:rPr>
          <w:rFonts w:ascii="Arial" w:hAnsi="Arial" w:cs="Arial"/>
          <w:sz w:val="18"/>
          <w:szCs w:val="18"/>
        </w:rPr>
        <w:t>9</w:t>
      </w:r>
      <w:r w:rsidRPr="008534A5">
        <w:rPr>
          <w:rFonts w:ascii="Arial" w:hAnsi="Arial" w:cs="Arial"/>
          <w:sz w:val="18"/>
          <w:szCs w:val="18"/>
        </w:rPr>
        <w:t>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434AEE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plan izrađen je temeljem smjernica i uputa za proračunske korisnike. Planiran je prema broju učenika i razrednih odjela, broju učenika u Učeničkom domu, broju djelatnika, površini objekata i opremanje istih.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prihoda i  primitaka za 201</w:t>
      </w:r>
      <w:r w:rsidR="00C822D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te projekcija za 20</w:t>
      </w:r>
      <w:r w:rsidR="00C822D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 i 202</w:t>
      </w:r>
      <w:r w:rsidR="00C822D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godinu sastoji se iz slijedećih izvora: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  goranska županija (decentralizacija)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Vlastiti prihodi (</w:t>
      </w:r>
      <w:r w:rsidR="00C822DD">
        <w:rPr>
          <w:rFonts w:ascii="Arial" w:hAnsi="Arial" w:cs="Arial"/>
          <w:sz w:val="20"/>
          <w:szCs w:val="20"/>
        </w:rPr>
        <w:t>usluge smještaja za susret informatičara, sudjelovanje učesnika Goranovog proljeća, aparat za samoposluživanje)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kamata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od JLS 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znanosti, obrazovanja i sporta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Donacije</w:t>
      </w:r>
    </w:p>
    <w:p w:rsidR="000770B6" w:rsidRPr="00537E34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od nefinancijske imovine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377D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kraju školske godine 2017./2018</w:t>
      </w:r>
      <w:r w:rsidR="000770B6">
        <w:rPr>
          <w:rFonts w:ascii="Arial" w:hAnsi="Arial" w:cs="Arial"/>
          <w:sz w:val="20"/>
          <w:szCs w:val="20"/>
        </w:rPr>
        <w:t>.</w:t>
      </w:r>
    </w:p>
    <w:p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-130 učenika (95</w:t>
      </w:r>
      <w:r w:rsidR="000770B6">
        <w:rPr>
          <w:rFonts w:ascii="Arial" w:hAnsi="Arial" w:cs="Arial"/>
          <w:sz w:val="20"/>
          <w:szCs w:val="20"/>
        </w:rPr>
        <w:t>%) uspješno je završilo razred</w:t>
      </w:r>
    </w:p>
    <w:p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- 34</w:t>
      </w:r>
      <w:r w:rsidR="000770B6">
        <w:rPr>
          <w:rFonts w:ascii="Arial" w:hAnsi="Arial" w:cs="Arial"/>
          <w:sz w:val="20"/>
          <w:szCs w:val="20"/>
        </w:rPr>
        <w:t xml:space="preserve"> učenik</w:t>
      </w:r>
      <w:r w:rsidR="00B0381C">
        <w:rPr>
          <w:rFonts w:ascii="Arial" w:hAnsi="Arial" w:cs="Arial"/>
          <w:sz w:val="20"/>
          <w:szCs w:val="20"/>
        </w:rPr>
        <w:t>a su položila završni rad, a 2</w:t>
      </w:r>
      <w:r>
        <w:rPr>
          <w:rFonts w:ascii="Arial" w:hAnsi="Arial" w:cs="Arial"/>
          <w:sz w:val="20"/>
          <w:szCs w:val="20"/>
        </w:rPr>
        <w:t xml:space="preserve"> učenik</w:t>
      </w:r>
      <w:r w:rsidR="00B0381C">
        <w:rPr>
          <w:rFonts w:ascii="Arial" w:hAnsi="Arial" w:cs="Arial"/>
          <w:sz w:val="20"/>
          <w:szCs w:val="20"/>
        </w:rPr>
        <w:t>a su uspješno položila</w:t>
      </w:r>
      <w:r w:rsidR="000770B6">
        <w:rPr>
          <w:rFonts w:ascii="Arial" w:hAnsi="Arial" w:cs="Arial"/>
          <w:sz w:val="20"/>
          <w:szCs w:val="20"/>
        </w:rPr>
        <w:t xml:space="preserve"> obvezne ispite državne mature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- 80 učenika naše Škole su sudjelovali na županijskom  natjecanju i  1 učenik na državnom natjecanju</w:t>
      </w:r>
    </w:p>
    <w:p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realizirano je 9</w:t>
      </w:r>
      <w:r w:rsidR="000770B6">
        <w:rPr>
          <w:rFonts w:ascii="Arial" w:hAnsi="Arial" w:cs="Arial"/>
          <w:sz w:val="20"/>
          <w:szCs w:val="20"/>
        </w:rPr>
        <w:t xml:space="preserve"> projekata ( matematika, dani kruha, projekt novih tehnologija,</w:t>
      </w:r>
      <w:r>
        <w:rPr>
          <w:rFonts w:ascii="Arial" w:hAnsi="Arial" w:cs="Arial"/>
          <w:sz w:val="20"/>
          <w:szCs w:val="20"/>
        </w:rPr>
        <w:t xml:space="preserve"> „stem discovery week“,</w:t>
      </w:r>
      <w:r w:rsidR="000770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kulturna i javna djelatnost, </w:t>
      </w:r>
      <w:r w:rsidR="000770B6">
        <w:rPr>
          <w:rFonts w:ascii="Arial" w:hAnsi="Arial" w:cs="Arial"/>
          <w:sz w:val="20"/>
          <w:szCs w:val="20"/>
        </w:rPr>
        <w:t>volonterski klub, dan maturanata, promidžba škole, dan otvorenih vrata).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šk. Godine 2014./2015. svi razredni odjeli koriste e-dnevnike. Očekuju se poboljšanja u smanjivanju izostanaka i bolja suradnja s roditeljima te uštede papira i uredskog materijala.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Kroz proces samovrednovanja iskazala se potreba intenzivnijeg rada na poticanju darovitih učenika , te se planira sudjelovanje na natjecanjima iz područja struke i općeobrazovnih predmeta, a ti</w:t>
      </w:r>
      <w:r w:rsidR="00AC6F97">
        <w:rPr>
          <w:rFonts w:ascii="Arial" w:hAnsi="Arial" w:cs="Arial"/>
          <w:sz w:val="20"/>
          <w:szCs w:val="20"/>
        </w:rPr>
        <w:t xml:space="preserve">me i više individualnog rada s </w:t>
      </w:r>
      <w:r>
        <w:rPr>
          <w:rFonts w:ascii="Arial" w:hAnsi="Arial" w:cs="Arial"/>
          <w:sz w:val="20"/>
          <w:szCs w:val="20"/>
        </w:rPr>
        <w:t>darovitim učenicima.</w:t>
      </w:r>
    </w:p>
    <w:p w:rsidR="002E6EDF" w:rsidRDefault="002E6E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Učenici pozitivno prihvaćaju koncept realizacije nastave putem organizacije projektnih aktivnosti što će se nastojati još intenzivnije realizirati. 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Poticat će se razvoj pozitivnih vrijednosti i natjecateljskog duha organizacijom nagradnih izleta za najuspješnije učenike i razred s najmanje izostanaka.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Slobodne aktivnosti će također biti organizirane prema mogućnostima Škole. Rad skupina slobodnih aktivnosti predstavit će se prigodnim programima vezanim uz Dan škole, svečanost prilikom ispraćaja maturanata i drugim kulturnim i javnim djelatnostima škole.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Profesori i odgajatelji će tijekom školske godine sudjelovati na seminarima, stručnim skupovima te održavati ogledne satove prema programima Stručnih vijeća.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NAČIN I SREDSTVA ZA REALIZACIJU PROGRAMA: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:rsidR="000770B6" w:rsidRPr="001127F4" w:rsidRDefault="00D11200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7.253.500,00</w:t>
            </w:r>
          </w:p>
        </w:tc>
        <w:tc>
          <w:tcPr>
            <w:tcW w:w="1701" w:type="dxa"/>
          </w:tcPr>
          <w:p w:rsidR="000770B6" w:rsidRPr="001127F4" w:rsidRDefault="00D11200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7.253.500,00</w:t>
            </w:r>
          </w:p>
        </w:tc>
        <w:tc>
          <w:tcPr>
            <w:tcW w:w="1667" w:type="dxa"/>
          </w:tcPr>
          <w:p w:rsidR="000770B6" w:rsidRPr="001127F4" w:rsidRDefault="00D11200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7.253.500,00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11200">
              <w:rPr>
                <w:rFonts w:ascii="Arial" w:hAnsi="Arial" w:cs="Arial"/>
                <w:sz w:val="18"/>
                <w:szCs w:val="18"/>
              </w:rPr>
              <w:t>26.5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00,00    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D11200">
              <w:rPr>
                <w:rFonts w:ascii="Arial" w:hAnsi="Arial" w:cs="Arial"/>
                <w:sz w:val="18"/>
                <w:szCs w:val="18"/>
              </w:rPr>
              <w:t>26.5</w:t>
            </w:r>
            <w:r w:rsidRPr="001127F4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667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D11200">
              <w:rPr>
                <w:rFonts w:ascii="Arial" w:hAnsi="Arial" w:cs="Arial"/>
                <w:sz w:val="18"/>
                <w:szCs w:val="18"/>
              </w:rPr>
              <w:t>26.5</w:t>
            </w:r>
            <w:r w:rsidRPr="001127F4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11200">
              <w:rPr>
                <w:rFonts w:ascii="Arial" w:hAnsi="Arial" w:cs="Arial"/>
                <w:sz w:val="18"/>
                <w:szCs w:val="18"/>
              </w:rPr>
              <w:t>11.9</w:t>
            </w:r>
            <w:r w:rsidRPr="001127F4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D11200">
              <w:rPr>
                <w:rFonts w:ascii="Arial" w:hAnsi="Arial" w:cs="Arial"/>
                <w:sz w:val="18"/>
                <w:szCs w:val="18"/>
              </w:rPr>
              <w:t>11.9</w:t>
            </w:r>
            <w:r w:rsidRPr="001127F4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667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D11200">
              <w:rPr>
                <w:rFonts w:ascii="Arial" w:hAnsi="Arial" w:cs="Arial"/>
                <w:sz w:val="18"/>
                <w:szCs w:val="18"/>
              </w:rPr>
              <w:t>11.9</w:t>
            </w:r>
            <w:r w:rsidRPr="001127F4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Izgradnja i rekonstrukcija objekata srednjeg školstva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:rsidR="000770B6" w:rsidRPr="001127F4" w:rsidRDefault="00D11200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7.291.900,00</w:t>
            </w:r>
          </w:p>
        </w:tc>
        <w:tc>
          <w:tcPr>
            <w:tcW w:w="1701" w:type="dxa"/>
          </w:tcPr>
          <w:p w:rsidR="000770B6" w:rsidRPr="001127F4" w:rsidRDefault="00D11200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7.291.900,00</w:t>
            </w:r>
          </w:p>
        </w:tc>
        <w:tc>
          <w:tcPr>
            <w:tcW w:w="1667" w:type="dxa"/>
          </w:tcPr>
          <w:p w:rsidR="000770B6" w:rsidRPr="001127F4" w:rsidRDefault="00D11200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7.291.900,00</w:t>
            </w:r>
          </w:p>
        </w:tc>
      </w:tr>
    </w:tbl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0965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Planirani prihod je veći u odnosu na projekciju 201</w:t>
      </w:r>
      <w:r w:rsidR="00B3418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iz razloga što je povećan prihod od MZOS (povećanje plaće za zaposlene prema kolektivnom ugovoru, povećanje ostalih rashoda za zaposlene(otpremnina za odlazak u mirovinu, </w:t>
      </w:r>
      <w:r w:rsidR="00B34181">
        <w:rPr>
          <w:rFonts w:ascii="Arial" w:hAnsi="Arial" w:cs="Arial"/>
          <w:sz w:val="20"/>
          <w:szCs w:val="20"/>
        </w:rPr>
        <w:t>isplata otpremnine za radnika koji je tehnološki višak</w:t>
      </w:r>
      <w:r>
        <w:rPr>
          <w:rFonts w:ascii="Arial" w:hAnsi="Arial" w:cs="Arial"/>
          <w:sz w:val="20"/>
          <w:szCs w:val="20"/>
        </w:rPr>
        <w:t>, više jubilarnih nagrada, te pomoći).</w:t>
      </w:r>
      <w:r w:rsidR="00B34181">
        <w:rPr>
          <w:rFonts w:ascii="Arial" w:hAnsi="Arial" w:cs="Arial"/>
          <w:sz w:val="20"/>
          <w:szCs w:val="20"/>
        </w:rPr>
        <w:t>Povećan je prihod od decentraliziranih sredstava zbog povećanog troška prijevoza na posao jer imamo veći broj radnika koji su putnici.</w:t>
      </w:r>
      <w:r>
        <w:rPr>
          <w:rFonts w:ascii="Arial" w:hAnsi="Arial" w:cs="Arial"/>
          <w:sz w:val="20"/>
          <w:szCs w:val="20"/>
        </w:rPr>
        <w:t>Smanjen je</w:t>
      </w:r>
      <w:r w:rsidR="00B34181">
        <w:rPr>
          <w:rFonts w:ascii="Arial" w:hAnsi="Arial" w:cs="Arial"/>
          <w:sz w:val="20"/>
          <w:szCs w:val="20"/>
        </w:rPr>
        <w:t xml:space="preserve"> vlastiti prihod jer nema obrazovanja odraslih. Prihod za posebne namjene također je veći zbog v</w:t>
      </w:r>
      <w:r w:rsidR="005805CB">
        <w:rPr>
          <w:rFonts w:ascii="Arial" w:hAnsi="Arial" w:cs="Arial"/>
          <w:sz w:val="20"/>
          <w:szCs w:val="20"/>
        </w:rPr>
        <w:t>ećeg</w:t>
      </w:r>
      <w:r w:rsidR="00B34181">
        <w:rPr>
          <w:rFonts w:ascii="Arial" w:hAnsi="Arial" w:cs="Arial"/>
          <w:sz w:val="20"/>
          <w:szCs w:val="20"/>
        </w:rPr>
        <w:t xml:space="preserve"> broja učenika u učeničkom domu.</w:t>
      </w:r>
      <w:r w:rsidR="005805CB">
        <w:rPr>
          <w:rFonts w:ascii="Arial" w:hAnsi="Arial" w:cs="Arial"/>
          <w:sz w:val="20"/>
          <w:szCs w:val="20"/>
        </w:rPr>
        <w:t xml:space="preserve"> Ostali prihodi za posebne namjene manji su iz razloga što smo nema prihoda od organiziranja domijade. Tekuće pomoći od HZMO  nisu planirane jer nemamo stručno osposobljavanje.</w:t>
      </w: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2409"/>
        <w:gridCol w:w="709"/>
        <w:gridCol w:w="1276"/>
        <w:gridCol w:w="1276"/>
        <w:gridCol w:w="1275"/>
        <w:gridCol w:w="1134"/>
      </w:tblGrid>
      <w:tr w:rsidR="000770B6" w:rsidRPr="001127F4">
        <w:trPr>
          <w:trHeight w:val="524"/>
        </w:trPr>
        <w:tc>
          <w:tcPr>
            <w:tcW w:w="1555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2019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2020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2021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5805C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</w:t>
            </w:r>
            <w:r w:rsidR="005805CB">
              <w:rPr>
                <w:rFonts w:ascii="Arial" w:hAnsi="Arial" w:cs="Arial"/>
                <w:color w:val="FF0000"/>
                <w:sz w:val="14"/>
                <w:szCs w:val="14"/>
              </w:rPr>
              <w:t>1.236.165,00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1.236.165,00</w:t>
            </w:r>
          </w:p>
        </w:tc>
        <w:tc>
          <w:tcPr>
            <w:tcW w:w="1275" w:type="dxa"/>
            <w:vAlign w:val="center"/>
          </w:tcPr>
          <w:p w:rsidR="000770B6" w:rsidRPr="001127F4" w:rsidRDefault="005805CB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1.236165,00</w:t>
            </w:r>
          </w:p>
        </w:tc>
        <w:tc>
          <w:tcPr>
            <w:tcW w:w="1134" w:type="dxa"/>
            <w:vAlign w:val="center"/>
          </w:tcPr>
          <w:p w:rsidR="000770B6" w:rsidRPr="001127F4" w:rsidRDefault="005805CB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1.236.165,00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Ostvarenje plana tekućeg i investicijskog održavanja objekata 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prioritetnih investicijskih radova  na objektima osigurati rad škola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26.500,00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26.500,00</w:t>
            </w:r>
          </w:p>
        </w:tc>
        <w:tc>
          <w:tcPr>
            <w:tcW w:w="1275" w:type="dxa"/>
            <w:vAlign w:val="center"/>
          </w:tcPr>
          <w:p w:rsidR="000770B6" w:rsidRPr="001127F4" w:rsidRDefault="005805CB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26.500,00</w:t>
            </w:r>
          </w:p>
        </w:tc>
        <w:tc>
          <w:tcPr>
            <w:tcW w:w="1134" w:type="dxa"/>
            <w:vAlign w:val="center"/>
          </w:tcPr>
          <w:p w:rsidR="000770B6" w:rsidRPr="001127F4" w:rsidRDefault="005805CB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26.500,00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Ostvarenje plana opremanja škola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nabave opreme zadržati uvjete za odvijanje nastavnog procesa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11.900,00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6524D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11.900,00</w:t>
            </w:r>
          </w:p>
        </w:tc>
        <w:tc>
          <w:tcPr>
            <w:tcW w:w="1275" w:type="dxa"/>
            <w:vAlign w:val="center"/>
          </w:tcPr>
          <w:p w:rsidR="000770B6" w:rsidRPr="001127F4" w:rsidRDefault="005805CB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11.900,00</w:t>
            </w:r>
          </w:p>
        </w:tc>
        <w:tc>
          <w:tcPr>
            <w:tcW w:w="1134" w:type="dxa"/>
            <w:vAlign w:val="center"/>
          </w:tcPr>
          <w:p w:rsidR="000770B6" w:rsidRPr="001127F4" w:rsidRDefault="005805CB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11.900,00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Plana rashoda za nabavu proizvedene dugotrajne imovine i dodatna ulaganja na nefinancijskoj imovini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Financiranjem izgradnje i rekonstrukcije školskih objekata osiguravaju se uvjeti za odvijanje nastavnih aktivnosti  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90F88">
        <w:rPr>
          <w:rFonts w:ascii="Arial" w:hAnsi="Arial" w:cs="Arial"/>
          <w:sz w:val="20"/>
          <w:szCs w:val="20"/>
        </w:rPr>
        <w:t>Planirano je redovito tekuće i investicijsko održavanje objekata  i kupovina opreme za realizaciju nastavnog procesa..</w:t>
      </w:r>
    </w:p>
    <w:p w:rsidR="000770B6" w:rsidRPr="00490F88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PROGRAMI IZNAD ZAKONSKOG STANDARDA OSNOVNOŠKOLSKIH USTANOVA / USTANOVA SREDNJEG ŠKOLSTVA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POSEBNI CILJ :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Poticanje učenika na kreativnost i razvoj pozitivnih vrijednosti, te omogućiti darovitim učenicima da razmjenjuju svoje talente kroz plesni, dramski i likovni izričaj.  Omogućiti stjecanje znanja i vještina učenika prema njihovim potrebama i interesima.</w:t>
      </w:r>
    </w:p>
    <w:p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Uspostaviti timski rad, suradnju i zajedničko druženje učenika međusobno, te sa ostalim partnerskim i vježbeničkim tvrtkama sa svrhom poticanja poduzetničkog duha i interesa za samostalno vođenje i obavljanje poslova u stvarnom poslovnom svijetu.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Program se realizira u okviru odobrenih sredstava za 201</w:t>
      </w:r>
      <w:r w:rsidR="00615096">
        <w:rPr>
          <w:rFonts w:ascii="Arial" w:hAnsi="Arial" w:cs="Arial"/>
          <w:color w:val="FF0000"/>
          <w:sz w:val="20"/>
          <w:szCs w:val="20"/>
        </w:rPr>
        <w:t>9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2648">
        <w:rPr>
          <w:rFonts w:ascii="Arial" w:hAnsi="Arial" w:cs="Arial"/>
          <w:sz w:val="18"/>
          <w:szCs w:val="18"/>
        </w:rPr>
        <w:t>Zakon o odgoju i obrazovanju u osnovnoj i srednjoj školi 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F366ED">
        <w:rPr>
          <w:rFonts w:ascii="Arial" w:hAnsi="Arial" w:cs="Arial"/>
          <w:sz w:val="18"/>
          <w:szCs w:val="18"/>
        </w:rPr>
        <w:t>, 68/18.</w:t>
      </w:r>
      <w:r w:rsidRPr="00FA2648">
        <w:rPr>
          <w:rFonts w:ascii="Arial" w:hAnsi="Arial" w:cs="Arial"/>
          <w:sz w:val="18"/>
          <w:szCs w:val="18"/>
        </w:rPr>
        <w:t>)</w:t>
      </w:r>
    </w:p>
    <w:p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>Godišnji izvedbeni  odgojno-obrazovni plan i program rada za školsku godinu 201</w:t>
      </w:r>
      <w:r w:rsidR="00F366ED">
        <w:rPr>
          <w:rFonts w:ascii="Arial" w:hAnsi="Arial" w:cs="Arial"/>
          <w:sz w:val="18"/>
          <w:szCs w:val="18"/>
        </w:rPr>
        <w:t>8</w:t>
      </w:r>
      <w:r w:rsidRPr="00FA2648">
        <w:rPr>
          <w:rFonts w:ascii="Arial" w:hAnsi="Arial" w:cs="Arial"/>
          <w:sz w:val="18"/>
          <w:szCs w:val="18"/>
        </w:rPr>
        <w:t>./201</w:t>
      </w:r>
      <w:r w:rsidR="00F366ED">
        <w:rPr>
          <w:rFonts w:ascii="Arial" w:hAnsi="Arial" w:cs="Arial"/>
          <w:sz w:val="18"/>
          <w:szCs w:val="18"/>
        </w:rPr>
        <w:t>9</w:t>
      </w:r>
      <w:r w:rsidRPr="00FA2648">
        <w:rPr>
          <w:rFonts w:ascii="Arial" w:hAnsi="Arial" w:cs="Arial"/>
          <w:sz w:val="18"/>
          <w:szCs w:val="18"/>
        </w:rPr>
        <w:t>.</w:t>
      </w:r>
    </w:p>
    <w:p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>Školski kurikulum ŽTŠ Moravice, nastavne i izvannastavne aktivnosti za školsku godinu 201</w:t>
      </w:r>
      <w:r w:rsidR="00F366ED">
        <w:rPr>
          <w:rFonts w:ascii="Arial" w:hAnsi="Arial" w:cs="Arial"/>
          <w:sz w:val="18"/>
          <w:szCs w:val="18"/>
        </w:rPr>
        <w:t>8</w:t>
      </w:r>
      <w:r w:rsidRPr="00FA2648">
        <w:rPr>
          <w:rFonts w:ascii="Arial" w:hAnsi="Arial" w:cs="Arial"/>
          <w:sz w:val="18"/>
          <w:szCs w:val="18"/>
        </w:rPr>
        <w:t>./201</w:t>
      </w:r>
      <w:r w:rsidR="00F366ED">
        <w:rPr>
          <w:rFonts w:ascii="Arial" w:hAnsi="Arial" w:cs="Arial"/>
          <w:sz w:val="18"/>
          <w:szCs w:val="18"/>
        </w:rPr>
        <w:t>9</w:t>
      </w:r>
      <w:bookmarkStart w:id="0" w:name="_GoBack"/>
      <w:bookmarkEnd w:id="0"/>
      <w:r w:rsidRPr="00FA2648">
        <w:rPr>
          <w:rFonts w:ascii="Arial" w:hAnsi="Arial" w:cs="Arial"/>
          <w:sz w:val="18"/>
          <w:szCs w:val="18"/>
        </w:rPr>
        <w:t>.</w:t>
      </w:r>
    </w:p>
    <w:p w:rsidR="000770B6" w:rsidRPr="00434AEE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svojim radom aktivno sudjelovati u svim oblicima kulturne i javne djelatnosti škole.  Prezentacija radova na smotrama i priredbama, postavljanje izložbi, sudjelovanje na sajmu obrtništva i međunarodnom sajmu vježbeničkih tvrtki, posjet kazališnim predstavama, izrada keramičarskih radova. Troškovi svake pojedine skupine u okviru su odobrenih sredstava Programa za poticanje dodatnog odgojno obrazovanog stvaralaštva.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se poticati na izražavanje kreativnosti, talenta i sposobnosti kroz uključivanje u  aktivnosti.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ČIN I SREDSTVA ZA REALIZACIJU PROGRAMA: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:rsidR="000770B6" w:rsidRPr="001127F4" w:rsidRDefault="000770B6" w:rsidP="00F90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 w:rsidR="00F9085C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770B6" w:rsidRPr="001127F4" w:rsidRDefault="000770B6" w:rsidP="00F90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9085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0770B6" w:rsidRPr="001127F4" w:rsidRDefault="000770B6" w:rsidP="00F90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9085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Produženi boravak učenika-putnika</w:t>
            </w:r>
          </w:p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Natjecanja i smotre u znanju, vještinama i sposobnostima</w:t>
            </w:r>
          </w:p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667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Sufinanciranje rada pomoćnika u nastavi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667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Obrazovanje odraslih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Odgojno-obrazovne aktivnosti izvan škola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Unapređenje mentorskog rada za učenike srednjih strukovnih škola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4E0A6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:rsidR="000770B6" w:rsidRPr="001127F4" w:rsidRDefault="004E0A6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Dodatne usluge djelanosti učeničkih domova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</w:tcPr>
          <w:p w:rsidR="000770B6" w:rsidRPr="001127F4" w:rsidRDefault="004E0A6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12.400,00</w:t>
            </w:r>
          </w:p>
        </w:tc>
        <w:tc>
          <w:tcPr>
            <w:tcW w:w="1701" w:type="dxa"/>
          </w:tcPr>
          <w:p w:rsidR="000770B6" w:rsidRPr="001127F4" w:rsidRDefault="004E0A6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12.400,00</w:t>
            </w:r>
          </w:p>
        </w:tc>
        <w:tc>
          <w:tcPr>
            <w:tcW w:w="1667" w:type="dxa"/>
          </w:tcPr>
          <w:p w:rsidR="000770B6" w:rsidRPr="001127F4" w:rsidRDefault="004E0A6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12.400,00</w:t>
            </w:r>
          </w:p>
        </w:tc>
      </w:tr>
    </w:tbl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75B6">
        <w:rPr>
          <w:rFonts w:ascii="Arial" w:hAnsi="Arial" w:cs="Arial"/>
          <w:sz w:val="20"/>
          <w:szCs w:val="20"/>
        </w:rPr>
        <w:t>Natjecanja i smotre u znanju, vještinama i sposobnostima- natjecanje iz hrvatskog jezika, matematike, engleskog jezika, informatike,</w:t>
      </w:r>
      <w:r>
        <w:rPr>
          <w:rFonts w:ascii="Arial" w:hAnsi="Arial" w:cs="Arial"/>
          <w:sz w:val="20"/>
          <w:szCs w:val="20"/>
        </w:rPr>
        <w:t xml:space="preserve"> </w:t>
      </w:r>
      <w:r w:rsidRPr="00F575B6">
        <w:rPr>
          <w:rFonts w:ascii="Arial" w:hAnsi="Arial" w:cs="Arial"/>
          <w:sz w:val="20"/>
          <w:szCs w:val="20"/>
        </w:rPr>
        <w:t>željezničkog prometa, elektrotehnike, osposobljavanje i natjecanje u pružanju prve pomoći.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za poticanje dodatnog odgojno obrazovnog stvaraštva –Mladi kazalištarci, keramičarska skupina, Vježbenička tvrtka, Učenička zadruga Eko-etno Rudač.</w:t>
      </w:r>
    </w:p>
    <w:p w:rsidR="000770B6" w:rsidRPr="00F575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0965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je manji u odnosu na projekciju 201</w:t>
      </w:r>
      <w:r w:rsidR="000270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iz razloga što </w:t>
      </w:r>
      <w:r w:rsidR="000270E4"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z w:val="20"/>
          <w:szCs w:val="20"/>
        </w:rPr>
        <w:t xml:space="preserve">je  planiran prihod u obrazovanju odraslih zbog </w:t>
      </w:r>
      <w:r w:rsidR="000270E4">
        <w:rPr>
          <w:rFonts w:ascii="Arial" w:hAnsi="Arial" w:cs="Arial"/>
          <w:sz w:val="20"/>
          <w:szCs w:val="20"/>
        </w:rPr>
        <w:t>toga što nema zainteresiranih</w:t>
      </w:r>
      <w:r>
        <w:rPr>
          <w:rFonts w:ascii="Arial" w:hAnsi="Arial" w:cs="Arial"/>
          <w:sz w:val="20"/>
          <w:szCs w:val="20"/>
        </w:rPr>
        <w:t xml:space="preserve"> polaznika</w:t>
      </w:r>
      <w:r w:rsidR="005061BD">
        <w:rPr>
          <w:rFonts w:ascii="Arial" w:hAnsi="Arial" w:cs="Arial"/>
          <w:sz w:val="20"/>
          <w:szCs w:val="20"/>
        </w:rPr>
        <w:t>, manje učenika je uključeno u program dodatno odgojno obrazovnog stvaralaštva pa su i sredstva manja u odnosu na projekciju .</w:t>
      </w: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0770B6" w:rsidRPr="001127F4">
        <w:trPr>
          <w:trHeight w:val="693"/>
        </w:trPr>
        <w:tc>
          <w:tcPr>
            <w:tcW w:w="1685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0770B6" w:rsidP="007335D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201</w:t>
            </w:r>
            <w:r w:rsidR="007335D1">
              <w:rPr>
                <w:sz w:val="14"/>
                <w:szCs w:val="14"/>
              </w:rPr>
              <w:t>9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7335D1" w:rsidP="00785F66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2020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7335D1" w:rsidP="00785F66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2021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</w:tr>
      <w:tr w:rsidR="000770B6" w:rsidRPr="001127F4">
        <w:trPr>
          <w:trHeight w:val="214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programu produženog boravka za učenike-putnike (SAMO ZA OŠ)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Osigurati siguran  boravak učenika-putnika u školi za vrijeme čekanja prijevoza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/ SŠ u natjecanja i smotre znanja, vještina i sposobnosti </w:t>
            </w:r>
          </w:p>
        </w:tc>
        <w:tc>
          <w:tcPr>
            <w:tcW w:w="2138" w:type="dxa"/>
            <w:vAlign w:val="center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6</w:t>
            </w:r>
            <w:r w:rsidR="000770B6" w:rsidRPr="001127F4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400,00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  <w:r w:rsidR="000770B6" w:rsidRPr="001127F4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75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400,00</w:t>
            </w:r>
          </w:p>
        </w:tc>
        <w:tc>
          <w:tcPr>
            <w:tcW w:w="1134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  <w:r w:rsidR="000770B6" w:rsidRPr="001127F4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pomoćnika u nastavi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Povećanjem broja pomoćnika u nastavi olakšati školovanje učenika s teškoćama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Broj 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7335D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7</w:t>
            </w:r>
            <w:r w:rsidR="007335D1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707A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275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134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Ostvarivanje godišnjih planova i programa predškolskog odgoja/broj skupina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predškolskog odgoja</w:t>
            </w:r>
          </w:p>
        </w:tc>
        <w:tc>
          <w:tcPr>
            <w:tcW w:w="2138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Financiranjem  plaća zaposlenika, dodatnih materijalnih i financijskih rashoda omogućiti nesmetano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odvijanje plana i programa u predškolskom odgoju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% plana / broj vrtićkih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skupina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Broj učenika i mentora uključenih u program</w:t>
            </w:r>
          </w:p>
        </w:tc>
        <w:tc>
          <w:tcPr>
            <w:tcW w:w="2138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programa omogućiti osposobljavanje i certificiranja mentora u trgovačkim društvima za rad s učenicima za vrijeme njihove prakse, povezivanja obrazovnih institucija s gospodarstvom i nagrađivanja najboljih učenika obuhvaćenih programom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Broj učenika / mentora 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projekata</w:t>
            </w:r>
          </w:p>
        </w:tc>
        <w:tc>
          <w:tcPr>
            <w:tcW w:w="2138" w:type="dxa"/>
          </w:tcPr>
          <w:p w:rsidR="000770B6" w:rsidRPr="001127F4" w:rsidRDefault="000770B6" w:rsidP="002D23C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Realizacijom što većeg broja projekata financiranih bespovratnim sredstvima fondova EU poboljšati uvjete rada (prostorne, oprema, edukacija) učenika i zaposlenika u ustanovama školstva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projekata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učenika uključenih u prehranu putem obroka školske kuhinje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Organiziranom obrocima školske marende osigurati učenicima redovitu i pravilnu prehranu za vrijeme boravka u školi.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ukupnog broja učenika škole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i SŠ u natjecanja i smotre znanja, vještina i sposobnosti 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polaznika programa obrazovanja odraslih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Omogućiti svim zainteresiranim osobama  doškolovanje i prekvalifikaciju uvažavajući potrebe tržišta rada, te mogućnost bolje vertikalne prohodnosti u sustavu obrazovanja 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polaznika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Županijska natjecanja : hrvatski jezik, engleski jezik, Info –kup</w:t>
      </w:r>
    </w:p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Školska natjecanja: hrvatski jezik, engleski jezik, matematika-Klokan bez granica, informatika-računalstvo, natjecanje iz vjeronauka-vjeronaučna olimpijada</w:t>
      </w: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 xml:space="preserve">Sudjelovanje Vježbeničke tvrtke na županijskom sajmu u Rijeci , posjet tvornici Kraš u Zagrebu, sudjelovanje učeničke zadruge na smotri u Crikvenici,sudjelovanje na Bundevijadi, obilježavanje obljetnice </w:t>
      </w:r>
      <w:r>
        <w:rPr>
          <w:rFonts w:ascii="Arial" w:hAnsi="Arial" w:cs="Arial"/>
          <w:sz w:val="20"/>
          <w:szCs w:val="20"/>
        </w:rPr>
        <w:t>Dana škole (izložba učeničk</w:t>
      </w:r>
      <w:r w:rsidRPr="00635ECB">
        <w:rPr>
          <w:rFonts w:ascii="Arial" w:hAnsi="Arial" w:cs="Arial"/>
          <w:sz w:val="20"/>
          <w:szCs w:val="20"/>
        </w:rPr>
        <w:t>ih radova), sudjelovanje na Oblikovno likovnoj radionici  u izradi radova od keramike</w:t>
      </w:r>
      <w:r>
        <w:rPr>
          <w:rFonts w:ascii="Arial" w:hAnsi="Arial" w:cs="Arial"/>
          <w:sz w:val="20"/>
          <w:szCs w:val="20"/>
        </w:rPr>
        <w:t>.</w:t>
      </w: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Moravice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 xml:space="preserve">, </w:t>
      </w:r>
      <w:r w:rsidR="00E14E7F" w:rsidRPr="00E14E7F">
        <w:rPr>
          <w:rFonts w:ascii="Arial" w:hAnsi="Arial" w:cs="Arial"/>
          <w:b/>
          <w:i/>
          <w:sz w:val="20"/>
          <w:szCs w:val="20"/>
        </w:rPr>
        <w:t>23.10.2018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.                                                                      </w:t>
      </w:r>
      <w:r w:rsidR="00E14E7F" w:rsidRPr="00E14E7F">
        <w:rPr>
          <w:rFonts w:ascii="Arial" w:hAnsi="Arial" w:cs="Arial"/>
          <w:b/>
          <w:i/>
          <w:sz w:val="20"/>
          <w:szCs w:val="20"/>
        </w:rPr>
        <w:t xml:space="preserve">  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    Ravnatelj</w:t>
      </w:r>
    </w:p>
    <w:p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E14E7F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Dokmanović Borivoj, dipl.ing.</w:t>
      </w:r>
    </w:p>
    <w:sectPr w:rsidR="000770B6" w:rsidRPr="00E14E7F" w:rsidSect="00041292">
      <w:headerReference w:type="default" r:id="rId7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72" w:rsidRDefault="00A16272" w:rsidP="00BD6C77">
      <w:pPr>
        <w:spacing w:after="0" w:line="240" w:lineRule="auto"/>
      </w:pPr>
      <w:r>
        <w:separator/>
      </w:r>
    </w:p>
  </w:endnote>
  <w:endnote w:type="continuationSeparator" w:id="0">
    <w:p w:rsidR="00A16272" w:rsidRDefault="00A16272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72" w:rsidRDefault="00A16272" w:rsidP="00BD6C77">
      <w:pPr>
        <w:spacing w:after="0" w:line="240" w:lineRule="auto"/>
      </w:pPr>
      <w:r>
        <w:separator/>
      </w:r>
    </w:p>
  </w:footnote>
  <w:footnote w:type="continuationSeparator" w:id="0">
    <w:p w:rsidR="00A16272" w:rsidRDefault="00A16272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B6" w:rsidRDefault="000770B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D5F"/>
    <w:multiLevelType w:val="hybridMultilevel"/>
    <w:tmpl w:val="410A686A"/>
    <w:lvl w:ilvl="0" w:tplc="7AEAE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1292"/>
    <w:rsid w:val="000264B8"/>
    <w:rsid w:val="000270E4"/>
    <w:rsid w:val="00041292"/>
    <w:rsid w:val="000437F0"/>
    <w:rsid w:val="0007638B"/>
    <w:rsid w:val="000770B6"/>
    <w:rsid w:val="000A4649"/>
    <w:rsid w:val="000B5F4E"/>
    <w:rsid w:val="000B7D54"/>
    <w:rsid w:val="000C7146"/>
    <w:rsid w:val="000D251C"/>
    <w:rsid w:val="000D32B6"/>
    <w:rsid w:val="000E37E8"/>
    <w:rsid w:val="000F421B"/>
    <w:rsid w:val="001127F4"/>
    <w:rsid w:val="00125605"/>
    <w:rsid w:val="00143F78"/>
    <w:rsid w:val="00167D28"/>
    <w:rsid w:val="001B05B8"/>
    <w:rsid w:val="001D16DE"/>
    <w:rsid w:val="001D7439"/>
    <w:rsid w:val="001E6D4E"/>
    <w:rsid w:val="001E7ED0"/>
    <w:rsid w:val="001F14A3"/>
    <w:rsid w:val="001F6A85"/>
    <w:rsid w:val="00220909"/>
    <w:rsid w:val="00227D6E"/>
    <w:rsid w:val="002448D1"/>
    <w:rsid w:val="002706D9"/>
    <w:rsid w:val="002A7A48"/>
    <w:rsid w:val="002B4015"/>
    <w:rsid w:val="002C7EB8"/>
    <w:rsid w:val="002D23C6"/>
    <w:rsid w:val="002E6EDF"/>
    <w:rsid w:val="002E7F25"/>
    <w:rsid w:val="002F1B0F"/>
    <w:rsid w:val="003106A8"/>
    <w:rsid w:val="00313470"/>
    <w:rsid w:val="0034781F"/>
    <w:rsid w:val="00377DF3"/>
    <w:rsid w:val="003C556A"/>
    <w:rsid w:val="003C62C3"/>
    <w:rsid w:val="003D1334"/>
    <w:rsid w:val="003F7901"/>
    <w:rsid w:val="00415E71"/>
    <w:rsid w:val="00434AEE"/>
    <w:rsid w:val="0046436F"/>
    <w:rsid w:val="00490F88"/>
    <w:rsid w:val="004A776E"/>
    <w:rsid w:val="004B2479"/>
    <w:rsid w:val="004C59B4"/>
    <w:rsid w:val="004E0A66"/>
    <w:rsid w:val="005061BD"/>
    <w:rsid w:val="00510CD1"/>
    <w:rsid w:val="005345C9"/>
    <w:rsid w:val="00537E34"/>
    <w:rsid w:val="005474C9"/>
    <w:rsid w:val="00547759"/>
    <w:rsid w:val="00551DFF"/>
    <w:rsid w:val="005805CB"/>
    <w:rsid w:val="005B04BA"/>
    <w:rsid w:val="005B4C18"/>
    <w:rsid w:val="005C0520"/>
    <w:rsid w:val="005C4501"/>
    <w:rsid w:val="005E27AD"/>
    <w:rsid w:val="00615096"/>
    <w:rsid w:val="00635ECB"/>
    <w:rsid w:val="00636F24"/>
    <w:rsid w:val="006512D3"/>
    <w:rsid w:val="006524DE"/>
    <w:rsid w:val="00686521"/>
    <w:rsid w:val="006B1F8B"/>
    <w:rsid w:val="006B29A1"/>
    <w:rsid w:val="006E33DD"/>
    <w:rsid w:val="006F413C"/>
    <w:rsid w:val="006F6BE7"/>
    <w:rsid w:val="00702CA6"/>
    <w:rsid w:val="00707A77"/>
    <w:rsid w:val="0071325F"/>
    <w:rsid w:val="00720183"/>
    <w:rsid w:val="00724354"/>
    <w:rsid w:val="007335D1"/>
    <w:rsid w:val="0074216D"/>
    <w:rsid w:val="0075160C"/>
    <w:rsid w:val="00755E82"/>
    <w:rsid w:val="00781BFE"/>
    <w:rsid w:val="00785F66"/>
    <w:rsid w:val="007E3FAA"/>
    <w:rsid w:val="007F1616"/>
    <w:rsid w:val="00805E39"/>
    <w:rsid w:val="00807943"/>
    <w:rsid w:val="00812D8A"/>
    <w:rsid w:val="00827A08"/>
    <w:rsid w:val="008319A4"/>
    <w:rsid w:val="00844704"/>
    <w:rsid w:val="008534A5"/>
    <w:rsid w:val="00854FBC"/>
    <w:rsid w:val="00873545"/>
    <w:rsid w:val="008754D6"/>
    <w:rsid w:val="00882AC5"/>
    <w:rsid w:val="0089609E"/>
    <w:rsid w:val="00897200"/>
    <w:rsid w:val="008978DE"/>
    <w:rsid w:val="008A2B34"/>
    <w:rsid w:val="008E0DBC"/>
    <w:rsid w:val="008E43EF"/>
    <w:rsid w:val="008F05FD"/>
    <w:rsid w:val="008F2495"/>
    <w:rsid w:val="008F3FCA"/>
    <w:rsid w:val="00913415"/>
    <w:rsid w:val="00915D52"/>
    <w:rsid w:val="009304C6"/>
    <w:rsid w:val="00933AB4"/>
    <w:rsid w:val="00947B10"/>
    <w:rsid w:val="0096000D"/>
    <w:rsid w:val="009A4EB5"/>
    <w:rsid w:val="009B6EE0"/>
    <w:rsid w:val="009C7513"/>
    <w:rsid w:val="009E06E9"/>
    <w:rsid w:val="009E4261"/>
    <w:rsid w:val="009F2287"/>
    <w:rsid w:val="009F2EDF"/>
    <w:rsid w:val="00A16272"/>
    <w:rsid w:val="00A4683C"/>
    <w:rsid w:val="00A476AB"/>
    <w:rsid w:val="00A500CB"/>
    <w:rsid w:val="00A53B89"/>
    <w:rsid w:val="00A67172"/>
    <w:rsid w:val="00A71431"/>
    <w:rsid w:val="00AA1771"/>
    <w:rsid w:val="00AC6F97"/>
    <w:rsid w:val="00AD2EEE"/>
    <w:rsid w:val="00AD454D"/>
    <w:rsid w:val="00B0381C"/>
    <w:rsid w:val="00B07C2A"/>
    <w:rsid w:val="00B14227"/>
    <w:rsid w:val="00B303B0"/>
    <w:rsid w:val="00B34181"/>
    <w:rsid w:val="00B35600"/>
    <w:rsid w:val="00B36200"/>
    <w:rsid w:val="00B456BB"/>
    <w:rsid w:val="00B6185A"/>
    <w:rsid w:val="00B662B7"/>
    <w:rsid w:val="00B70D96"/>
    <w:rsid w:val="00B74AE5"/>
    <w:rsid w:val="00B9145E"/>
    <w:rsid w:val="00BB6917"/>
    <w:rsid w:val="00BD6C77"/>
    <w:rsid w:val="00C07DBD"/>
    <w:rsid w:val="00C1421C"/>
    <w:rsid w:val="00C24317"/>
    <w:rsid w:val="00C24C9E"/>
    <w:rsid w:val="00C24D24"/>
    <w:rsid w:val="00C310B6"/>
    <w:rsid w:val="00C31EF9"/>
    <w:rsid w:val="00C41882"/>
    <w:rsid w:val="00C50C83"/>
    <w:rsid w:val="00C7291A"/>
    <w:rsid w:val="00C760F6"/>
    <w:rsid w:val="00C80D5C"/>
    <w:rsid w:val="00C81037"/>
    <w:rsid w:val="00C8208A"/>
    <w:rsid w:val="00C822DD"/>
    <w:rsid w:val="00C83B9F"/>
    <w:rsid w:val="00C904E0"/>
    <w:rsid w:val="00C972B5"/>
    <w:rsid w:val="00CA154C"/>
    <w:rsid w:val="00CA722F"/>
    <w:rsid w:val="00CB5E40"/>
    <w:rsid w:val="00D06A75"/>
    <w:rsid w:val="00D11200"/>
    <w:rsid w:val="00D235D4"/>
    <w:rsid w:val="00D3713E"/>
    <w:rsid w:val="00D4011B"/>
    <w:rsid w:val="00D475A5"/>
    <w:rsid w:val="00D70965"/>
    <w:rsid w:val="00D73B33"/>
    <w:rsid w:val="00D7619E"/>
    <w:rsid w:val="00D779DB"/>
    <w:rsid w:val="00DA192C"/>
    <w:rsid w:val="00DA5AF9"/>
    <w:rsid w:val="00DE3194"/>
    <w:rsid w:val="00DF5DA8"/>
    <w:rsid w:val="00E06E03"/>
    <w:rsid w:val="00E14E7F"/>
    <w:rsid w:val="00E21CF0"/>
    <w:rsid w:val="00E2372C"/>
    <w:rsid w:val="00E44FE4"/>
    <w:rsid w:val="00E46041"/>
    <w:rsid w:val="00E552A4"/>
    <w:rsid w:val="00E5688A"/>
    <w:rsid w:val="00E6292E"/>
    <w:rsid w:val="00E74D8F"/>
    <w:rsid w:val="00E75458"/>
    <w:rsid w:val="00E75DDC"/>
    <w:rsid w:val="00E91740"/>
    <w:rsid w:val="00EA0C5F"/>
    <w:rsid w:val="00EA357D"/>
    <w:rsid w:val="00EA78BD"/>
    <w:rsid w:val="00EB05E9"/>
    <w:rsid w:val="00EF377E"/>
    <w:rsid w:val="00F32619"/>
    <w:rsid w:val="00F366ED"/>
    <w:rsid w:val="00F377D8"/>
    <w:rsid w:val="00F41679"/>
    <w:rsid w:val="00F575B6"/>
    <w:rsid w:val="00F61161"/>
    <w:rsid w:val="00F64FE8"/>
    <w:rsid w:val="00F65E70"/>
    <w:rsid w:val="00F71C71"/>
    <w:rsid w:val="00F7445E"/>
    <w:rsid w:val="00F777E4"/>
    <w:rsid w:val="00F81DF0"/>
    <w:rsid w:val="00F85A3C"/>
    <w:rsid w:val="00F85B9E"/>
    <w:rsid w:val="00F9085C"/>
    <w:rsid w:val="00FA2648"/>
    <w:rsid w:val="00FC0743"/>
    <w:rsid w:val="00FD7999"/>
    <w:rsid w:val="00FF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15"/>
    <w:pPr>
      <w:spacing w:after="200" w:line="276" w:lineRule="auto"/>
    </w:pPr>
    <w:rPr>
      <w:rFonts w:cs="Calibri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locked/>
    <w:rsid w:val="000E37E8"/>
    <w:rPr>
      <w:rFonts w:ascii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99"/>
    <w:rsid w:val="0004129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D6C77"/>
  </w:style>
  <w:style w:type="paragraph" w:styleId="Podnoje">
    <w:name w:val="footer"/>
    <w:basedOn w:val="Normal"/>
    <w:link w:val="Podno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D6C77"/>
  </w:style>
  <w:style w:type="paragraph" w:styleId="Odlomakpopisa">
    <w:name w:val="List Paragraph"/>
    <w:basedOn w:val="Normal"/>
    <w:uiPriority w:val="99"/>
    <w:qFormat/>
    <w:rsid w:val="00537E3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2182</Words>
  <Characters>12440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Racunovodstvo</cp:lastModifiedBy>
  <cp:revision>6</cp:revision>
  <cp:lastPrinted>2018-10-23T05:40:00Z</cp:lastPrinted>
  <dcterms:created xsi:type="dcterms:W3CDTF">2018-10-23T05:37:00Z</dcterms:created>
  <dcterms:modified xsi:type="dcterms:W3CDTF">2018-11-26T07:57:00Z</dcterms:modified>
</cp:coreProperties>
</file>